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067" w:rsidRPr="00DC209F" w:rsidRDefault="001C7EBD" w:rsidP="001B7067">
      <w:pPr>
        <w:widowControl/>
        <w:jc w:val="left"/>
        <w:rPr>
          <w:rFonts w:ascii="仿宋_GB2312" w:eastAsia="仿宋_GB2312" w:hAnsi="宋体" w:cs="宋体" w:hint="eastAsia"/>
          <w:b/>
          <w:bCs/>
          <w:kern w:val="0"/>
          <w:sz w:val="32"/>
          <w:szCs w:val="32"/>
        </w:rPr>
      </w:pPr>
      <w:r w:rsidRPr="00DC209F">
        <w:rPr>
          <w:rFonts w:ascii="仿宋_GB2312" w:eastAsia="仿宋_GB2312" w:hAnsi="宋体" w:cs="宋体" w:hint="eastAsia"/>
          <w:b/>
          <w:bCs/>
          <w:kern w:val="0"/>
          <w:sz w:val="32"/>
          <w:szCs w:val="32"/>
        </w:rPr>
        <w:t xml:space="preserve">附录3 </w:t>
      </w:r>
    </w:p>
    <w:p w:rsidR="00134899" w:rsidRPr="00DC209F" w:rsidRDefault="001C7EBD" w:rsidP="001B7067">
      <w:pPr>
        <w:widowControl/>
        <w:jc w:val="center"/>
        <w:rPr>
          <w:rFonts w:ascii="方正小标宋简体" w:eastAsia="方正小标宋简体" w:hAnsi="宋体" w:cs="宋体" w:hint="eastAsia"/>
          <w:bCs/>
          <w:kern w:val="0"/>
          <w:sz w:val="44"/>
          <w:szCs w:val="44"/>
        </w:rPr>
      </w:pPr>
      <w:r w:rsidRPr="00DC209F">
        <w:rPr>
          <w:rFonts w:ascii="方正小标宋简体" w:eastAsia="方正小标宋简体" w:hAnsi="宋体" w:cs="宋体" w:hint="eastAsia"/>
          <w:bCs/>
          <w:kern w:val="0"/>
          <w:sz w:val="44"/>
          <w:szCs w:val="44"/>
        </w:rPr>
        <w:t>医疗器械经营企业冷链产品贮存、运输管理检查评定细则</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363"/>
        <w:gridCol w:w="3402"/>
        <w:gridCol w:w="1276"/>
      </w:tblGrid>
      <w:tr w:rsidR="00134899">
        <w:trPr>
          <w:trHeight w:val="534"/>
          <w:tblHeader/>
        </w:trPr>
        <w:tc>
          <w:tcPr>
            <w:tcW w:w="959" w:type="dxa"/>
          </w:tcPr>
          <w:p w:rsidR="00134899" w:rsidRDefault="001C7EBD">
            <w:pPr>
              <w:jc w:val="center"/>
              <w:rPr>
                <w:b/>
                <w:bCs/>
              </w:rPr>
            </w:pPr>
            <w:r>
              <w:rPr>
                <w:rFonts w:hint="eastAsia"/>
                <w:b/>
                <w:bCs/>
              </w:rPr>
              <w:t>条款号</w:t>
            </w:r>
          </w:p>
        </w:tc>
        <w:tc>
          <w:tcPr>
            <w:tcW w:w="8363" w:type="dxa"/>
          </w:tcPr>
          <w:p w:rsidR="00134899" w:rsidRDefault="001C7EBD">
            <w:pPr>
              <w:jc w:val="center"/>
              <w:rPr>
                <w:b/>
                <w:bCs/>
              </w:rPr>
            </w:pPr>
            <w:r>
              <w:rPr>
                <w:b/>
                <w:bCs/>
              </w:rPr>
              <w:t xml:space="preserve">  </w:t>
            </w:r>
            <w:r>
              <w:rPr>
                <w:rFonts w:hint="eastAsia"/>
                <w:b/>
                <w:bCs/>
              </w:rPr>
              <w:t>条款内容</w:t>
            </w:r>
          </w:p>
        </w:tc>
        <w:tc>
          <w:tcPr>
            <w:tcW w:w="3402" w:type="dxa"/>
          </w:tcPr>
          <w:p w:rsidR="00134899" w:rsidRDefault="001C7EBD">
            <w:pPr>
              <w:jc w:val="center"/>
              <w:rPr>
                <w:b/>
                <w:bCs/>
              </w:rPr>
            </w:pPr>
            <w:r>
              <w:rPr>
                <w:rFonts w:hint="eastAsia"/>
                <w:b/>
                <w:bCs/>
              </w:rPr>
              <w:t>检查要点</w:t>
            </w:r>
          </w:p>
        </w:tc>
        <w:tc>
          <w:tcPr>
            <w:tcW w:w="1276" w:type="dxa"/>
          </w:tcPr>
          <w:p w:rsidR="00134899" w:rsidRDefault="001C7EBD">
            <w:pPr>
              <w:jc w:val="center"/>
              <w:rPr>
                <w:b/>
                <w:bCs/>
              </w:rPr>
            </w:pPr>
            <w:r>
              <w:rPr>
                <w:rFonts w:hint="eastAsia"/>
                <w:b/>
                <w:bCs/>
              </w:rPr>
              <w:t>结果判定</w:t>
            </w:r>
          </w:p>
        </w:tc>
      </w:tr>
      <w:tr w:rsidR="00134899">
        <w:tc>
          <w:tcPr>
            <w:tcW w:w="959" w:type="dxa"/>
            <w:vAlign w:val="center"/>
          </w:tcPr>
          <w:p w:rsidR="00134899" w:rsidRDefault="001C7EBD">
            <w:r>
              <w:t>3.1</w:t>
            </w:r>
          </w:p>
        </w:tc>
        <w:tc>
          <w:tcPr>
            <w:tcW w:w="8363" w:type="dxa"/>
            <w:vAlign w:val="center"/>
          </w:tcPr>
          <w:p w:rsidR="00134899" w:rsidRDefault="001C7EBD">
            <w:r>
              <w:rPr>
                <w:rFonts w:hint="eastAsia"/>
              </w:rPr>
              <w:t>从事冷链管理医疗器械的收货、验收</w:t>
            </w:r>
            <w:bookmarkStart w:id="0" w:name="_GoBack"/>
            <w:bookmarkEnd w:id="0"/>
            <w:r>
              <w:rPr>
                <w:rFonts w:hint="eastAsia"/>
              </w:rPr>
              <w:t>、贮存、检查、出库、运输等工作的人员，应接受冷藏、冷冻相关法律法规、专业知识、工作制度和标准操作规程的培训，经考核合格后，方可上岗。</w:t>
            </w:r>
          </w:p>
        </w:tc>
        <w:tc>
          <w:tcPr>
            <w:tcW w:w="3402" w:type="dxa"/>
          </w:tcPr>
          <w:p w:rsidR="00134899" w:rsidRDefault="001C7EBD">
            <w:r>
              <w:t>1.</w:t>
            </w:r>
            <w:r>
              <w:rPr>
                <w:rFonts w:hint="eastAsia"/>
              </w:rPr>
              <w:t>查看企业人员花名册；</w:t>
            </w:r>
            <w:r>
              <w:t>2.</w:t>
            </w:r>
            <w:r>
              <w:rPr>
                <w:rFonts w:hint="eastAsia"/>
              </w:rPr>
              <w:t>查看相关人员的培训、考核记录；</w:t>
            </w:r>
            <w:r>
              <w:t>3.</w:t>
            </w:r>
            <w:r>
              <w:rPr>
                <w:rFonts w:hint="eastAsia"/>
              </w:rPr>
              <w:t>冷链产品委托其他经营企业贮存的医疗器械经营企业重点检查其对受托企业的评估情况。</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*4.1</w:t>
            </w:r>
          </w:p>
        </w:tc>
        <w:tc>
          <w:tcPr>
            <w:tcW w:w="8363" w:type="dxa"/>
          </w:tcPr>
          <w:p w:rsidR="00134899" w:rsidRDefault="001C7EBD">
            <w:r>
              <w:rPr>
                <w:rFonts w:hint="eastAsia"/>
              </w:rPr>
              <w:t>医疗器械批发企业应根据经营的品种和规模，配备相适应的冷库（冷藏库或冷冻库）及冷藏车或冷藏箱（保温箱）等设施设备。</w:t>
            </w:r>
          </w:p>
          <w:p w:rsidR="00134899" w:rsidRDefault="001C7EBD">
            <w:r>
              <w:rPr>
                <w:rFonts w:hint="eastAsia"/>
              </w:rPr>
              <w:t>医疗器械零售企业应根据经营的品种和规模，配备相适应的冷库或冷藏设备（冷藏柜或冷藏箱等）。</w:t>
            </w:r>
          </w:p>
        </w:tc>
        <w:tc>
          <w:tcPr>
            <w:tcW w:w="3402" w:type="dxa"/>
          </w:tcPr>
          <w:p w:rsidR="00134899" w:rsidRDefault="001C7EBD">
            <w:r>
              <w:t>1.</w:t>
            </w:r>
            <w:r>
              <w:rPr>
                <w:rFonts w:hint="eastAsia"/>
              </w:rPr>
              <w:t>查看批发企业相关设施设备的配备情况；</w:t>
            </w:r>
            <w:r>
              <w:t xml:space="preserve"> 2.</w:t>
            </w:r>
            <w:r>
              <w:rPr>
                <w:rFonts w:hint="eastAsia"/>
              </w:rPr>
              <w:t>查看零售企业相关设施设备的配备情况。</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*5.1</w:t>
            </w:r>
          </w:p>
        </w:tc>
        <w:tc>
          <w:tcPr>
            <w:tcW w:w="8363" w:type="dxa"/>
          </w:tcPr>
          <w:p w:rsidR="00134899" w:rsidRDefault="001C7EBD">
            <w:r>
              <w:rPr>
                <w:rFonts w:hint="eastAsia"/>
              </w:rPr>
              <w:t>用于贮存医疗器械的冷库应具有自动调控温度的功能，机组的制冷能力应与冷库容积相适应。为保证制冷系统的连续供电，冷库应配备备用发电机组或双回路供电系统等。</w:t>
            </w:r>
          </w:p>
          <w:p w:rsidR="00134899" w:rsidRDefault="001C7EBD">
            <w:r>
              <w:rPr>
                <w:rFonts w:hint="eastAsia"/>
                <w:lang w:val="en-GB"/>
              </w:rPr>
              <w:t>冷</w:t>
            </w:r>
            <w:r>
              <w:rPr>
                <w:rFonts w:hint="eastAsia"/>
              </w:rPr>
              <w:t>库内应划分待验区、贮存区、退货区、包装材料预冷区（货位）等，并设有明显标示。</w:t>
            </w:r>
          </w:p>
        </w:tc>
        <w:tc>
          <w:tcPr>
            <w:tcW w:w="3402" w:type="dxa"/>
          </w:tcPr>
          <w:p w:rsidR="00134899" w:rsidRDefault="001C7EBD">
            <w:r>
              <w:t>1.</w:t>
            </w:r>
            <w:r>
              <w:rPr>
                <w:rFonts w:hint="eastAsia"/>
              </w:rPr>
              <w:t>查看冷库的相关功能；</w:t>
            </w:r>
            <w:r>
              <w:t xml:space="preserve"> 2.</w:t>
            </w:r>
            <w:r>
              <w:rPr>
                <w:rFonts w:hint="eastAsia"/>
              </w:rPr>
              <w:t>查看相关设备的配备情况；</w:t>
            </w:r>
            <w:r>
              <w:t xml:space="preserve"> 3.</w:t>
            </w:r>
            <w:r>
              <w:rPr>
                <w:rFonts w:hint="eastAsia"/>
              </w:rPr>
              <w:t>查看相关设备的运行情况；</w:t>
            </w:r>
            <w:r>
              <w:t xml:space="preserve"> 4.</w:t>
            </w:r>
            <w:r>
              <w:rPr>
                <w:rFonts w:hint="eastAsia"/>
              </w:rPr>
              <w:t>查看冷库库内分区及标识情况。</w:t>
            </w:r>
            <w:r>
              <w:t xml:space="preserve"> </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*6.1</w:t>
            </w:r>
          </w:p>
        </w:tc>
        <w:tc>
          <w:tcPr>
            <w:tcW w:w="8363" w:type="dxa"/>
          </w:tcPr>
          <w:p w:rsidR="00134899" w:rsidRDefault="001C7EBD">
            <w:r>
              <w:rPr>
                <w:rFonts w:hint="eastAsia"/>
              </w:rPr>
              <w:t>用于医疗器械运输的冷藏车应具备自动调控温度功能，车厢应防水、密闭，车厢内留有保证气流充分循环的空间。</w:t>
            </w:r>
          </w:p>
        </w:tc>
        <w:tc>
          <w:tcPr>
            <w:tcW w:w="3402" w:type="dxa"/>
          </w:tcPr>
          <w:p w:rsidR="00134899" w:rsidRDefault="001C7EBD">
            <w:r>
              <w:t>1.</w:t>
            </w:r>
            <w:r>
              <w:rPr>
                <w:rFonts w:hint="eastAsia"/>
              </w:rPr>
              <w:t>查看车辆相关功能。</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*7.1</w:t>
            </w:r>
          </w:p>
        </w:tc>
        <w:tc>
          <w:tcPr>
            <w:tcW w:w="8363" w:type="dxa"/>
          </w:tcPr>
          <w:p w:rsidR="00134899" w:rsidRDefault="001C7EBD">
            <w:r>
              <w:rPr>
                <w:rFonts w:hint="eastAsia"/>
              </w:rPr>
              <w:t>冷藏箱（柜）应能自动调节箱体内温度；保温箱应配备蓄冷（热）剂及隔温装置，并符合产品说明书和标签标示的储运要求。</w:t>
            </w:r>
          </w:p>
          <w:p w:rsidR="00134899" w:rsidRDefault="00134899"/>
        </w:tc>
        <w:tc>
          <w:tcPr>
            <w:tcW w:w="3402" w:type="dxa"/>
          </w:tcPr>
          <w:p w:rsidR="00134899" w:rsidRDefault="001C7EBD">
            <w:r>
              <w:t>1.</w:t>
            </w:r>
            <w:r>
              <w:rPr>
                <w:rFonts w:hint="eastAsia"/>
              </w:rPr>
              <w:t>查看冷藏箱（柜）的功能，</w:t>
            </w:r>
            <w:r>
              <w:t>2.</w:t>
            </w:r>
            <w:r>
              <w:rPr>
                <w:rFonts w:hint="eastAsia"/>
              </w:rPr>
              <w:t>查看保温箱装置配备及实际运行情况。</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lastRenderedPageBreak/>
              <w:t>*8.1</w:t>
            </w:r>
          </w:p>
        </w:tc>
        <w:tc>
          <w:tcPr>
            <w:tcW w:w="8363" w:type="dxa"/>
          </w:tcPr>
          <w:p w:rsidR="00134899" w:rsidRDefault="001C7EBD">
            <w:r>
              <w:rPr>
                <w:rFonts w:hint="eastAsia"/>
              </w:rPr>
              <w:t>用于医疗器械贮存和运输的冷库、冷藏车应配备温度自动监测系统（以下简称温测系统）监测温度。温测系统应具备以下功能：</w:t>
            </w:r>
          </w:p>
          <w:p w:rsidR="00134899" w:rsidRDefault="001C7EBD">
            <w:r>
              <w:rPr>
                <w:rFonts w:hint="eastAsia"/>
              </w:rPr>
              <w:t>（一）温测系统的测量范围、精度、分辨率等技术参数能够满足管理需要，具有不间断监测、连续记录、数据存储、显示及报警功能。</w:t>
            </w:r>
          </w:p>
          <w:p w:rsidR="00134899" w:rsidRDefault="001C7EBD">
            <w:r>
              <w:rPr>
                <w:rFonts w:hint="eastAsia"/>
              </w:rPr>
              <w:t>（二）冷库、冷藏车设备运行过程至少每隔</w:t>
            </w:r>
            <w:r>
              <w:t>1</w:t>
            </w:r>
            <w:r>
              <w:rPr>
                <w:rFonts w:hint="eastAsia"/>
              </w:rPr>
              <w:t>分钟更新一次测点温度数据，贮存过程至少每隔</w:t>
            </w:r>
            <w:r>
              <w:t>30</w:t>
            </w:r>
            <w:r>
              <w:rPr>
                <w:rFonts w:hint="eastAsia"/>
              </w:rPr>
              <w:t>分钟自动记录一次实时温湿度数据，运输过程至少每隔</w:t>
            </w:r>
            <w:r>
              <w:t>5</w:t>
            </w:r>
            <w:r>
              <w:rPr>
                <w:rFonts w:hint="eastAsia"/>
              </w:rPr>
              <w:t>分钟自动记录一次实时温度数据。</w:t>
            </w:r>
          </w:p>
          <w:p w:rsidR="00134899" w:rsidRDefault="001C7EBD">
            <w:r>
              <w:rPr>
                <w:rFonts w:hint="eastAsia"/>
              </w:rPr>
              <w:t>（三）当监测温度达到设定的临界值或者超出规定范围时，温测系统能够实现声光报警，同时实现短信等通讯方式向至少</w:t>
            </w:r>
            <w:r>
              <w:t>2</w:t>
            </w:r>
            <w:r>
              <w:rPr>
                <w:rFonts w:hint="eastAsia"/>
              </w:rPr>
              <w:t>名指定人员即时发出报警信息。</w:t>
            </w:r>
          </w:p>
          <w:p w:rsidR="00134899" w:rsidRDefault="001C7EBD">
            <w:r>
              <w:rPr>
                <w:rFonts w:hint="eastAsia"/>
              </w:rPr>
              <w:t>每个（台）独立的冷库、冷藏车应根据验证结论设定、安装至少</w:t>
            </w:r>
            <w:r>
              <w:t>2</w:t>
            </w:r>
            <w:r>
              <w:rPr>
                <w:rFonts w:hint="eastAsia"/>
              </w:rPr>
              <w:t>个温度测点终端。温度测点终端和温测设备每年应至少进行一次校准或者检定。</w:t>
            </w:r>
          </w:p>
          <w:p w:rsidR="00134899" w:rsidRDefault="001C7EBD">
            <w:r>
              <w:rPr>
                <w:rFonts w:hint="eastAsia"/>
              </w:rPr>
              <w:t>冷藏箱、保温箱或其他冷藏设备应配备温度自动记录和存储的仪器设备。</w:t>
            </w:r>
          </w:p>
        </w:tc>
        <w:tc>
          <w:tcPr>
            <w:tcW w:w="3402" w:type="dxa"/>
          </w:tcPr>
          <w:p w:rsidR="00134899" w:rsidRDefault="001C7EBD">
            <w:r>
              <w:t xml:space="preserve"> 1.</w:t>
            </w:r>
            <w:r>
              <w:rPr>
                <w:rFonts w:hint="eastAsia"/>
              </w:rPr>
              <w:t>查看系统、设施设备的相关功能；</w:t>
            </w:r>
            <w:r>
              <w:t xml:space="preserve"> 2.</w:t>
            </w:r>
            <w:r>
              <w:rPr>
                <w:rFonts w:hint="eastAsia"/>
              </w:rPr>
              <w:t>查看相关设施设备的配置情况；</w:t>
            </w:r>
            <w:r>
              <w:t xml:space="preserve"> 3.</w:t>
            </w:r>
            <w:r>
              <w:rPr>
                <w:rFonts w:hint="eastAsia"/>
              </w:rPr>
              <w:t>查看相关设施设备的运行情况；</w:t>
            </w:r>
            <w:r>
              <w:t xml:space="preserve"> 4.</w:t>
            </w:r>
            <w:r>
              <w:rPr>
                <w:rFonts w:hint="eastAsia"/>
              </w:rPr>
              <w:t>查看相关设施设备的档案。</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*9.1</w:t>
            </w:r>
          </w:p>
        </w:tc>
        <w:tc>
          <w:tcPr>
            <w:tcW w:w="8363" w:type="dxa"/>
          </w:tcPr>
          <w:p w:rsidR="00134899" w:rsidRDefault="001C7EBD">
            <w:r>
              <w:rPr>
                <w:rFonts w:hint="eastAsia"/>
              </w:rPr>
              <w:t>冷库、冷藏车、冷藏箱、保温箱以及温测系统应进行使用前验证、定期验证及停用时间超过规定时限情况下的验证。未经验证的设施设备，不得应用于冷链管理医疗器械的运输和贮存过程。</w:t>
            </w:r>
          </w:p>
        </w:tc>
        <w:tc>
          <w:tcPr>
            <w:tcW w:w="3402" w:type="dxa"/>
          </w:tcPr>
          <w:p w:rsidR="00134899" w:rsidRDefault="001C7EBD">
            <w:r>
              <w:t>1.</w:t>
            </w:r>
            <w:r>
              <w:rPr>
                <w:rFonts w:hint="eastAsia"/>
              </w:rPr>
              <w:t>查看相关设施设备的验证报告。</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9.2</w:t>
            </w:r>
          </w:p>
        </w:tc>
        <w:tc>
          <w:tcPr>
            <w:tcW w:w="8363" w:type="dxa"/>
          </w:tcPr>
          <w:p w:rsidR="00134899" w:rsidRDefault="001C7EBD">
            <w:r>
              <w:rPr>
                <w:rFonts w:hint="eastAsia"/>
              </w:rPr>
              <w:t>建立并形成验证管理文件，文件内容包括验证方案、标准、报告、评价、偏差处理和预防措施等。</w:t>
            </w:r>
          </w:p>
        </w:tc>
        <w:tc>
          <w:tcPr>
            <w:tcW w:w="3402" w:type="dxa"/>
          </w:tcPr>
          <w:p w:rsidR="00134899" w:rsidRDefault="001C7EBD">
            <w:r>
              <w:t>1.</w:t>
            </w:r>
            <w:r>
              <w:rPr>
                <w:rFonts w:hint="eastAsia"/>
              </w:rPr>
              <w:t>查看验证控制文件。</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 xml:space="preserve">9.3 </w:t>
            </w:r>
          </w:p>
        </w:tc>
        <w:tc>
          <w:tcPr>
            <w:tcW w:w="8363" w:type="dxa"/>
          </w:tcPr>
          <w:p w:rsidR="00134899" w:rsidRDefault="001C7EBD">
            <w:r>
              <w:rPr>
                <w:rFonts w:hint="eastAsia"/>
              </w:rPr>
              <w:t>根据验证对象确定合理的持续验证时间，以保证验证数据的充分、有效及连续。</w:t>
            </w:r>
          </w:p>
          <w:p w:rsidR="00134899" w:rsidRDefault="00134899"/>
        </w:tc>
        <w:tc>
          <w:tcPr>
            <w:tcW w:w="3402" w:type="dxa"/>
          </w:tcPr>
          <w:p w:rsidR="00134899" w:rsidRDefault="001C7EBD">
            <w:r>
              <w:t>1.</w:t>
            </w:r>
            <w:r>
              <w:rPr>
                <w:rFonts w:hint="eastAsia"/>
              </w:rPr>
              <w:t>查看验证报告内容（应根据企业经营产品运输时长确定持续验证时间）。</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 xml:space="preserve">*9.4 </w:t>
            </w:r>
          </w:p>
        </w:tc>
        <w:tc>
          <w:tcPr>
            <w:tcW w:w="8363" w:type="dxa"/>
          </w:tcPr>
          <w:p w:rsidR="00134899" w:rsidRDefault="001C7EBD">
            <w:r>
              <w:rPr>
                <w:rFonts w:hint="eastAsia"/>
              </w:rPr>
              <w:t>验证使用的温测设备应当经过具有资质的计量机构校准或者检定，校准或者检定证书（复印件）应当作为验证报告的必要附件，验证数据应真实、完整、有效及可追溯。</w:t>
            </w:r>
          </w:p>
          <w:p w:rsidR="00134899" w:rsidRDefault="00134899"/>
        </w:tc>
        <w:tc>
          <w:tcPr>
            <w:tcW w:w="3402" w:type="dxa"/>
          </w:tcPr>
          <w:p w:rsidR="00134899" w:rsidRDefault="001C7EBD">
            <w:r>
              <w:t xml:space="preserve"> 1.</w:t>
            </w:r>
            <w:r>
              <w:rPr>
                <w:rFonts w:hint="eastAsia"/>
              </w:rPr>
              <w:t>查看相关设备的校准或检定证书（证书应在有效期内）。</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lastRenderedPageBreak/>
              <w:t xml:space="preserve">9.5 </w:t>
            </w:r>
          </w:p>
        </w:tc>
        <w:tc>
          <w:tcPr>
            <w:tcW w:w="8363" w:type="dxa"/>
          </w:tcPr>
          <w:p w:rsidR="00134899" w:rsidRDefault="001C7EBD">
            <w:r>
              <w:rPr>
                <w:rFonts w:hint="eastAsia"/>
              </w:rPr>
              <w:t>根据验证确定的参数及条件，正确、合理使用相关设施及设备。</w:t>
            </w:r>
          </w:p>
        </w:tc>
        <w:tc>
          <w:tcPr>
            <w:tcW w:w="3402" w:type="dxa"/>
          </w:tcPr>
          <w:p w:rsidR="00134899" w:rsidRDefault="001C7EBD">
            <w:r>
              <w:t xml:space="preserve"> 1.</w:t>
            </w:r>
            <w:r>
              <w:rPr>
                <w:rFonts w:hint="eastAsia"/>
              </w:rPr>
              <w:t>查看相关设施设备参数设置情况。</w:t>
            </w:r>
            <w:r>
              <w:t xml:space="preserve"> </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10.1</w:t>
            </w:r>
          </w:p>
        </w:tc>
        <w:tc>
          <w:tcPr>
            <w:tcW w:w="8363" w:type="dxa"/>
          </w:tcPr>
          <w:p w:rsidR="00134899" w:rsidRDefault="001C7EBD">
            <w:r>
              <w:rPr>
                <w:rFonts w:hint="eastAsia"/>
              </w:rPr>
              <w:t>在进行冷链管理医疗器械收货时，应核实运输方式、到货及在途温度、启运时间和到货时间并做好记录；对销后退回的产品还应核实售出期间的温度记录。符合要求的，应及时移入冷库内待验区；不符合温度要求的应当拒收，并做相应记录。</w:t>
            </w:r>
          </w:p>
        </w:tc>
        <w:tc>
          <w:tcPr>
            <w:tcW w:w="3402" w:type="dxa"/>
          </w:tcPr>
          <w:p w:rsidR="00134899" w:rsidRDefault="001C7EBD">
            <w:r>
              <w:t>1.</w:t>
            </w:r>
            <w:r>
              <w:rPr>
                <w:rFonts w:hint="eastAsia"/>
              </w:rPr>
              <w:t>查看收货管理规定及相关记录；</w:t>
            </w:r>
            <w:r>
              <w:t xml:space="preserve"> 2.</w:t>
            </w:r>
            <w:r>
              <w:rPr>
                <w:rFonts w:hint="eastAsia"/>
              </w:rPr>
              <w:t>查看退货管理规定及相关记录；</w:t>
            </w:r>
            <w:r>
              <w:t xml:space="preserve"> 3.</w:t>
            </w:r>
            <w:r>
              <w:rPr>
                <w:rFonts w:hint="eastAsia"/>
              </w:rPr>
              <w:t>通过相关人员的实际操作确认其操作的合规性。</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*11.1</w:t>
            </w:r>
          </w:p>
        </w:tc>
        <w:tc>
          <w:tcPr>
            <w:tcW w:w="8363" w:type="dxa"/>
          </w:tcPr>
          <w:p w:rsidR="00134899" w:rsidRDefault="001C7EBD">
            <w:r>
              <w:rPr>
                <w:rFonts w:hint="eastAsia"/>
              </w:rPr>
              <w:t>使用冷库贮存的冷链管理医疗器械，应当在冷库内进行验收。</w:t>
            </w:r>
          </w:p>
          <w:p w:rsidR="00134899" w:rsidRDefault="001C7EBD">
            <w:r>
              <w:rPr>
                <w:rFonts w:hint="eastAsia"/>
              </w:rPr>
              <w:t>验收人员应当检查产品状态，并按《医疗器械经营质量管理规范》第三十八条、第三十九条的要求做好记录。</w:t>
            </w:r>
          </w:p>
        </w:tc>
        <w:tc>
          <w:tcPr>
            <w:tcW w:w="3402" w:type="dxa"/>
          </w:tcPr>
          <w:p w:rsidR="00134899" w:rsidRDefault="001C7EBD">
            <w:r>
              <w:t>1.</w:t>
            </w:r>
            <w:r>
              <w:rPr>
                <w:rFonts w:hint="eastAsia"/>
              </w:rPr>
              <w:t>查看验收管理规定及相关记录；</w:t>
            </w:r>
            <w:r>
              <w:t xml:space="preserve"> 2.</w:t>
            </w:r>
            <w:r>
              <w:rPr>
                <w:rFonts w:hint="eastAsia"/>
              </w:rPr>
              <w:t>通过验收人员的实际操作确认其操作的合规性；</w:t>
            </w:r>
            <w:r>
              <w:t xml:space="preserve"> 3.</w:t>
            </w:r>
            <w:r>
              <w:rPr>
                <w:rFonts w:hint="eastAsia"/>
              </w:rPr>
              <w:t>查看冷库区域划分情况。</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12.1</w:t>
            </w:r>
          </w:p>
        </w:tc>
        <w:tc>
          <w:tcPr>
            <w:tcW w:w="8363" w:type="dxa"/>
          </w:tcPr>
          <w:p w:rsidR="00134899" w:rsidRDefault="001C7EBD">
            <w:r>
              <w:rPr>
                <w:rFonts w:hint="eastAsia"/>
              </w:rPr>
              <w:t>冷链管理医疗器械在库期间应按照产品说明书或标签标示的要求进行贮存和检查，应重点对贮存的冷链管理医疗器械的包装、标签、外观及温度状况等进行检查并记录。</w:t>
            </w:r>
          </w:p>
          <w:p w:rsidR="00134899" w:rsidRDefault="001C7EBD">
            <w:r>
              <w:rPr>
                <w:rFonts w:hint="eastAsia"/>
              </w:rPr>
              <w:t>冷库内制冷机组出风口须避免遮挡，应根据冷库验证报告确定合理的贮存区域。</w:t>
            </w:r>
          </w:p>
          <w:p w:rsidR="00134899" w:rsidRDefault="00134899"/>
        </w:tc>
        <w:tc>
          <w:tcPr>
            <w:tcW w:w="3402" w:type="dxa"/>
          </w:tcPr>
          <w:p w:rsidR="00134899" w:rsidRDefault="001C7EBD">
            <w:r>
              <w:t>1.</w:t>
            </w:r>
            <w:r>
              <w:rPr>
                <w:rFonts w:hint="eastAsia"/>
              </w:rPr>
              <w:t>查看储存和检查管理规定及相关规定；</w:t>
            </w:r>
            <w:r>
              <w:t xml:space="preserve"> 2.</w:t>
            </w:r>
            <w:r>
              <w:rPr>
                <w:rFonts w:hint="eastAsia"/>
              </w:rPr>
              <w:t>通过相关人员实际操作确认其操作合规性；</w:t>
            </w:r>
            <w:r>
              <w:t xml:space="preserve"> 3.</w:t>
            </w:r>
            <w:r>
              <w:rPr>
                <w:rFonts w:hint="eastAsia"/>
              </w:rPr>
              <w:t>查看冷库内产品码放情况。</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 xml:space="preserve">13.1 </w:t>
            </w:r>
          </w:p>
        </w:tc>
        <w:tc>
          <w:tcPr>
            <w:tcW w:w="8363" w:type="dxa"/>
          </w:tcPr>
          <w:p w:rsidR="00134899" w:rsidRDefault="001C7EBD">
            <w:r>
              <w:rPr>
                <w:rFonts w:hint="eastAsia"/>
              </w:rPr>
              <w:t>冷链管理医疗器械出库时，应当由专人负责出库复核、装箱封箱、装车码放工作。</w:t>
            </w:r>
          </w:p>
          <w:p w:rsidR="00134899" w:rsidRDefault="00134899"/>
        </w:tc>
        <w:tc>
          <w:tcPr>
            <w:tcW w:w="3402" w:type="dxa"/>
          </w:tcPr>
          <w:p w:rsidR="00134899" w:rsidRDefault="001C7EBD">
            <w:r>
              <w:t>1.</w:t>
            </w:r>
            <w:r>
              <w:rPr>
                <w:rFonts w:hint="eastAsia"/>
              </w:rPr>
              <w:t>查看岗位设置情况及岗位职责。</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13.2</w:t>
            </w:r>
          </w:p>
        </w:tc>
        <w:tc>
          <w:tcPr>
            <w:tcW w:w="8363" w:type="dxa"/>
          </w:tcPr>
          <w:p w:rsidR="00134899" w:rsidRDefault="001C7EBD">
            <w:r>
              <w:rPr>
                <w:rFonts w:hint="eastAsia"/>
              </w:rPr>
              <w:t>使用冷藏箱、保温箱运输冷链管理医疗器械的，应当根据验证确定的参数及条件，制定包装标准操作规程，装箱、封箱操作应符合以下要求：</w:t>
            </w:r>
          </w:p>
          <w:p w:rsidR="00134899" w:rsidRDefault="001C7EBD">
            <w:r>
              <w:rPr>
                <w:rFonts w:hint="eastAsia"/>
              </w:rPr>
              <w:t>（一）装箱前应进行冷藏箱、保温箱预冷或预热。</w:t>
            </w:r>
          </w:p>
          <w:p w:rsidR="00134899" w:rsidRDefault="001C7EBD">
            <w:r>
              <w:rPr>
                <w:rFonts w:hint="eastAsia"/>
              </w:rPr>
              <w:t>（二）在保温箱内合理配备与温度控制及运输时限相适应的蓄冷剂。</w:t>
            </w:r>
          </w:p>
          <w:p w:rsidR="00134899" w:rsidRDefault="001C7EBD">
            <w:r>
              <w:rPr>
                <w:rFonts w:hint="eastAsia"/>
              </w:rPr>
              <w:t>（三）冷藏箱启动制冷功能和温测设备（保温箱启动温测设备），检查设备运行正常，并达到规定的温度后，将产品装箱。</w:t>
            </w:r>
          </w:p>
          <w:p w:rsidR="00134899" w:rsidRDefault="001C7EBD">
            <w:r>
              <w:rPr>
                <w:rFonts w:hint="eastAsia"/>
              </w:rPr>
              <w:lastRenderedPageBreak/>
              <w:t>（四）根据对蓄冷剂和产品的温度控制验证结论，必要时装箱应使用隔温装置将产品与蓄冷剂等冷媒进行隔离。</w:t>
            </w:r>
          </w:p>
          <w:p w:rsidR="00134899" w:rsidRDefault="001C7EBD">
            <w:r>
              <w:rPr>
                <w:rFonts w:hint="eastAsia"/>
              </w:rPr>
              <w:t>（五）冷链管理医疗器械的包装、装箱、封箱工作应在符合产品说明书和标签标示温度范围内的环境下完成。</w:t>
            </w:r>
          </w:p>
        </w:tc>
        <w:tc>
          <w:tcPr>
            <w:tcW w:w="3402" w:type="dxa"/>
          </w:tcPr>
          <w:p w:rsidR="00134899" w:rsidRDefault="001C7EBD">
            <w:r>
              <w:lastRenderedPageBreak/>
              <w:t xml:space="preserve"> 1.</w:t>
            </w:r>
            <w:r>
              <w:rPr>
                <w:rFonts w:hint="eastAsia"/>
              </w:rPr>
              <w:t>查看相关设施设备验证控制文件；</w:t>
            </w:r>
            <w:r>
              <w:t xml:space="preserve"> 2.</w:t>
            </w:r>
            <w:r>
              <w:rPr>
                <w:rFonts w:hint="eastAsia"/>
              </w:rPr>
              <w:t>查看相关设施设备的操作规程；</w:t>
            </w:r>
            <w:r>
              <w:t xml:space="preserve"> 3.</w:t>
            </w:r>
            <w:r>
              <w:rPr>
                <w:rFonts w:hint="eastAsia"/>
              </w:rPr>
              <w:t>通过相关人员实际操作确认其操作合规性。</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lastRenderedPageBreak/>
              <w:t>*14.1</w:t>
            </w:r>
          </w:p>
        </w:tc>
        <w:tc>
          <w:tcPr>
            <w:tcW w:w="8363" w:type="dxa"/>
          </w:tcPr>
          <w:p w:rsidR="00134899" w:rsidRDefault="001C7EBD">
            <w:r>
              <w:rPr>
                <w:rFonts w:hint="eastAsia"/>
              </w:rPr>
              <w:t>运输冷链管理医疗器械的，应根据运输的产品数量、距离、时间以及温度要求、外部环境温度等情况，选择合理的运输工具和温控方式，确保运输过程中温度控制符合要求。</w:t>
            </w:r>
          </w:p>
        </w:tc>
        <w:tc>
          <w:tcPr>
            <w:tcW w:w="3402" w:type="dxa"/>
          </w:tcPr>
          <w:p w:rsidR="00134899" w:rsidRDefault="001C7EBD">
            <w:r>
              <w:t>1.</w:t>
            </w:r>
            <w:r>
              <w:rPr>
                <w:rFonts w:hint="eastAsia"/>
              </w:rPr>
              <w:t>查看企业实际经营业务与验证报告的相符性（是否与验证报告确定的运输工具和温控方式一致）。</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15.1</w:t>
            </w:r>
          </w:p>
        </w:tc>
        <w:tc>
          <w:tcPr>
            <w:tcW w:w="8363" w:type="dxa"/>
          </w:tcPr>
          <w:p w:rsidR="00134899" w:rsidRDefault="001C7EBD">
            <w:r>
              <w:rPr>
                <w:rFonts w:hint="eastAsia"/>
              </w:rPr>
              <w:t>使用冷藏车运输冷链管理医疗器械的，应符合以下要求：</w:t>
            </w:r>
          </w:p>
          <w:p w:rsidR="00134899" w:rsidRDefault="001C7EBD">
            <w:r>
              <w:rPr>
                <w:rFonts w:hint="eastAsia"/>
              </w:rPr>
              <w:t>（一）提前启动制冷功能和温测设备，将车厢内预冷至规定的温度。</w:t>
            </w:r>
          </w:p>
          <w:p w:rsidR="00134899" w:rsidRDefault="001C7EBD">
            <w:r>
              <w:rPr>
                <w:rFonts w:hint="eastAsia"/>
              </w:rPr>
              <w:t>（二）根据验证报告确定冷藏车厢内产品的码放方式及区域，码放高度不得超过制冷机组出风口下沿，确保气流正常循环和温度均匀分布。</w:t>
            </w:r>
          </w:p>
          <w:p w:rsidR="00134899" w:rsidRDefault="001C7EBD">
            <w:r>
              <w:rPr>
                <w:rFonts w:hint="eastAsia"/>
              </w:rPr>
              <w:t>（三）冷链管理医疗器械装车完毕，及时关闭车厢门，检查厢门密闭情况。</w:t>
            </w:r>
          </w:p>
          <w:p w:rsidR="00134899" w:rsidRDefault="001C7EBD">
            <w:r>
              <w:rPr>
                <w:rFonts w:hint="eastAsia"/>
              </w:rPr>
              <w:t>（四）检查温控设备和温测设备运行状况，运行正常方可启运。</w:t>
            </w:r>
          </w:p>
          <w:p w:rsidR="00134899" w:rsidRDefault="001C7EBD">
            <w:r>
              <w:rPr>
                <w:rFonts w:hint="eastAsia"/>
              </w:rPr>
              <w:t>（五）冷链管理医疗器械在装卸过程中，应采取措施确保温度符合产品说明书和标签标示的要求。</w:t>
            </w:r>
          </w:p>
        </w:tc>
        <w:tc>
          <w:tcPr>
            <w:tcW w:w="3402" w:type="dxa"/>
          </w:tcPr>
          <w:p w:rsidR="00134899" w:rsidRDefault="001C7EBD">
            <w:r>
              <w:t>1.</w:t>
            </w:r>
            <w:r>
              <w:rPr>
                <w:rFonts w:hint="eastAsia"/>
              </w:rPr>
              <w:t>查看相关设施设备验证控制文件；</w:t>
            </w:r>
            <w:r>
              <w:t xml:space="preserve"> 2.</w:t>
            </w:r>
            <w:r>
              <w:rPr>
                <w:rFonts w:hint="eastAsia"/>
              </w:rPr>
              <w:t>查看相关设施设备的操作规程；</w:t>
            </w:r>
            <w:r>
              <w:t xml:space="preserve"> 3.</w:t>
            </w:r>
            <w:r>
              <w:rPr>
                <w:rFonts w:hint="eastAsia"/>
              </w:rPr>
              <w:t>通过相关人员实际操作确认其操作合规性。</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pPr>
              <w:rPr>
                <w:color w:val="0000FF"/>
              </w:rPr>
            </w:pPr>
            <w:r>
              <w:rPr>
                <w:color w:val="000000"/>
              </w:rPr>
              <w:t>16.1</w:t>
            </w:r>
          </w:p>
        </w:tc>
        <w:tc>
          <w:tcPr>
            <w:tcW w:w="8363" w:type="dxa"/>
          </w:tcPr>
          <w:p w:rsidR="00134899" w:rsidRDefault="001C7EBD">
            <w:r>
              <w:rPr>
                <w:rFonts w:hint="eastAsia"/>
              </w:rPr>
              <w:t>冷链管理医疗器械发货时，应检查并记录冷藏车、冷藏箱、保温箱的温度。到货后，应向收货单位提供运输期间的全程温度记录。</w:t>
            </w:r>
          </w:p>
        </w:tc>
        <w:tc>
          <w:tcPr>
            <w:tcW w:w="3402" w:type="dxa"/>
          </w:tcPr>
          <w:p w:rsidR="00134899" w:rsidRDefault="001C7EBD">
            <w:r>
              <w:t>1.</w:t>
            </w:r>
            <w:r>
              <w:rPr>
                <w:rFonts w:hint="eastAsia"/>
              </w:rPr>
              <w:t>查看出库管理规定及发货记录；</w:t>
            </w:r>
            <w:r>
              <w:t xml:space="preserve"> 2.</w:t>
            </w:r>
            <w:r>
              <w:rPr>
                <w:rFonts w:hint="eastAsia"/>
              </w:rPr>
              <w:t>通过相关人员实际操作确认其操作合规性；</w:t>
            </w:r>
            <w:r>
              <w:t>3.</w:t>
            </w:r>
            <w:r>
              <w:rPr>
                <w:rFonts w:hint="eastAsia"/>
              </w:rPr>
              <w:t>查看运输期间的在途温度记录。</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rPr>
          <w:trHeight w:val="452"/>
        </w:trPr>
        <w:tc>
          <w:tcPr>
            <w:tcW w:w="959" w:type="dxa"/>
          </w:tcPr>
          <w:p w:rsidR="00134899" w:rsidRDefault="001C7EBD">
            <w:r>
              <w:t>*17.1</w:t>
            </w:r>
          </w:p>
        </w:tc>
        <w:tc>
          <w:tcPr>
            <w:tcW w:w="8363" w:type="dxa"/>
          </w:tcPr>
          <w:p w:rsidR="00134899" w:rsidRDefault="001C7EBD">
            <w:r>
              <w:rPr>
                <w:rFonts w:hint="eastAsia"/>
              </w:rPr>
              <w:t>委托其他单位运输冷链管理医疗器械的，应当对承运方的资质及能力进行审核，签订委托运输协议，至少符合以下要求：</w:t>
            </w:r>
          </w:p>
          <w:p w:rsidR="00134899" w:rsidRDefault="001C7EBD">
            <w:r>
              <w:rPr>
                <w:rFonts w:hint="eastAsia"/>
              </w:rPr>
              <w:t>（一）索要承运方的运输资质文件、运输设施设备和运输管理监测系统验证文件、承运人员资质证明、运输过程温度控制及监测系统验证文件等相关资料。</w:t>
            </w:r>
          </w:p>
          <w:p w:rsidR="00134899" w:rsidRDefault="001C7EBD">
            <w:r>
              <w:rPr>
                <w:rFonts w:hint="eastAsia"/>
              </w:rPr>
              <w:t>（二）对承运方的运输设施设备、人员资质、质量保障能力、安全运输能力、风险控制能</w:t>
            </w:r>
            <w:r>
              <w:rPr>
                <w:rFonts w:hint="eastAsia"/>
              </w:rPr>
              <w:lastRenderedPageBreak/>
              <w:t>力等进行委托前和定期审核，审核报告存档备查。</w:t>
            </w:r>
          </w:p>
          <w:p w:rsidR="00134899" w:rsidRDefault="001C7EBD">
            <w:r>
              <w:rPr>
                <w:rFonts w:hint="eastAsia"/>
              </w:rPr>
              <w:t>（三）委托运输协议内容应包括：承运方制定的运输标准操作规程、运输过程中温度控制和实时监测的要求、在途时限的要求以及运输过程中的质量安全责任。</w:t>
            </w:r>
          </w:p>
          <w:p w:rsidR="00134899" w:rsidRDefault="001C7EBD">
            <w:r>
              <w:rPr>
                <w:rFonts w:hint="eastAsia"/>
              </w:rPr>
              <w:t>（四）必要时根据承运方的资质和条件，委托方可对承运方的相关人员及运输设施设备进行审查和考核。</w:t>
            </w:r>
          </w:p>
        </w:tc>
        <w:tc>
          <w:tcPr>
            <w:tcW w:w="3402" w:type="dxa"/>
          </w:tcPr>
          <w:p w:rsidR="00134899" w:rsidRDefault="001C7EBD">
            <w:r>
              <w:lastRenderedPageBreak/>
              <w:t>1.</w:t>
            </w:r>
            <w:r>
              <w:rPr>
                <w:rFonts w:hint="eastAsia"/>
              </w:rPr>
              <w:t>查看委托运输单位、设施设备及相关人员的资质文件；</w:t>
            </w:r>
            <w:r>
              <w:t xml:space="preserve"> 2.</w:t>
            </w:r>
            <w:r>
              <w:rPr>
                <w:rFonts w:hint="eastAsia"/>
              </w:rPr>
              <w:t>查看对委托承运方质量保证能力的考核、评估记录；</w:t>
            </w:r>
            <w:r>
              <w:t xml:space="preserve"> 3.</w:t>
            </w:r>
            <w:r>
              <w:rPr>
                <w:rFonts w:hint="eastAsia"/>
              </w:rPr>
              <w:t>查看委托运输协议；</w:t>
            </w:r>
            <w:r>
              <w:t>4.</w:t>
            </w:r>
            <w:r>
              <w:rPr>
                <w:rFonts w:hint="eastAsia"/>
              </w:rPr>
              <w:t>查看委托运输记录。</w:t>
            </w:r>
            <w:r>
              <w:t xml:space="preserve"> </w:t>
            </w:r>
          </w:p>
        </w:tc>
        <w:tc>
          <w:tcPr>
            <w:tcW w:w="1276" w:type="dxa"/>
          </w:tcPr>
          <w:p w:rsidR="00134899" w:rsidRDefault="001C7EBD">
            <w:bookmarkStart w:id="1" w:name="OLE_LINK1"/>
            <w:r>
              <w:rPr>
                <w:rFonts w:hint="eastAsia"/>
              </w:rPr>
              <w:t>□合格</w:t>
            </w:r>
          </w:p>
          <w:p w:rsidR="00134899" w:rsidRDefault="001C7EBD">
            <w:r>
              <w:rPr>
                <w:rFonts w:hint="eastAsia"/>
              </w:rPr>
              <w:t>□不合格</w:t>
            </w:r>
          </w:p>
          <w:p w:rsidR="00134899" w:rsidRDefault="001C7EBD">
            <w:r>
              <w:rPr>
                <w:rFonts w:hint="eastAsia"/>
              </w:rPr>
              <w:t>□不适用</w:t>
            </w:r>
            <w:bookmarkEnd w:id="1"/>
          </w:p>
        </w:tc>
      </w:tr>
      <w:tr w:rsidR="00134899">
        <w:tc>
          <w:tcPr>
            <w:tcW w:w="959" w:type="dxa"/>
          </w:tcPr>
          <w:p w:rsidR="00134899" w:rsidRDefault="001C7EBD">
            <w:r>
              <w:lastRenderedPageBreak/>
              <w:t>18.1</w:t>
            </w:r>
          </w:p>
        </w:tc>
        <w:tc>
          <w:tcPr>
            <w:tcW w:w="8363" w:type="dxa"/>
          </w:tcPr>
          <w:p w:rsidR="00134899" w:rsidRDefault="001C7EBD">
            <w:r>
              <w:rPr>
                <w:rFonts w:hint="eastAsia"/>
              </w:rPr>
              <w:t>委托其他单位贮存冷链管理医疗器械的，受托企业应符合《北京市医疗器械经营企业为其他生产经营企业提供医疗器械贮存、配送服务现场检查评定细则》的要求。</w:t>
            </w:r>
          </w:p>
        </w:tc>
        <w:tc>
          <w:tcPr>
            <w:tcW w:w="3402" w:type="dxa"/>
          </w:tcPr>
          <w:p w:rsidR="00134899" w:rsidRDefault="001C7EBD">
            <w:r>
              <w:t>1.</w:t>
            </w:r>
            <w:r>
              <w:rPr>
                <w:rFonts w:hint="eastAsia"/>
              </w:rPr>
              <w:t>查看委托单位留存的受托企业的相关资质；</w:t>
            </w:r>
            <w:r>
              <w:t>2.</w:t>
            </w:r>
            <w:r>
              <w:rPr>
                <w:rFonts w:hint="eastAsia"/>
              </w:rPr>
              <w:t>查看与受托单位计算机管理系统对接情况。</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r w:rsidR="00134899">
        <w:tc>
          <w:tcPr>
            <w:tcW w:w="959" w:type="dxa"/>
          </w:tcPr>
          <w:p w:rsidR="00134899" w:rsidRDefault="001C7EBD">
            <w:r>
              <w:t>19.1</w:t>
            </w:r>
          </w:p>
        </w:tc>
        <w:tc>
          <w:tcPr>
            <w:tcW w:w="8363" w:type="dxa"/>
          </w:tcPr>
          <w:p w:rsidR="00134899" w:rsidRDefault="001C7EBD">
            <w:r>
              <w:rPr>
                <w:rFonts w:hint="eastAsia"/>
              </w:rPr>
              <w:t>经营企业应当制定冷链管理医疗器械在贮存、运输过程中温度控制的应急预案，并对应急预案进行验证。对贮存、运输过程中出现的断电、异常气候、设备故障、交通事故等意外或紧急情况，能够及时采取有效的应对措施，防止因异常突发情况造成的温度失控。</w:t>
            </w:r>
          </w:p>
        </w:tc>
        <w:tc>
          <w:tcPr>
            <w:tcW w:w="3402" w:type="dxa"/>
          </w:tcPr>
          <w:p w:rsidR="00134899" w:rsidRDefault="001C7EBD">
            <w:r>
              <w:t>1.</w:t>
            </w:r>
            <w:r>
              <w:rPr>
                <w:rFonts w:hint="eastAsia"/>
              </w:rPr>
              <w:t>查看产品储运温度控制应急预案内容及验证记录。</w:t>
            </w:r>
          </w:p>
        </w:tc>
        <w:tc>
          <w:tcPr>
            <w:tcW w:w="1276" w:type="dxa"/>
          </w:tcPr>
          <w:p w:rsidR="00134899" w:rsidRDefault="001C7EBD">
            <w:r>
              <w:rPr>
                <w:rFonts w:hint="eastAsia"/>
              </w:rPr>
              <w:t>□合格</w:t>
            </w:r>
          </w:p>
          <w:p w:rsidR="00134899" w:rsidRDefault="001C7EBD">
            <w:r>
              <w:rPr>
                <w:rFonts w:hint="eastAsia"/>
              </w:rPr>
              <w:t>□不合格</w:t>
            </w:r>
          </w:p>
          <w:p w:rsidR="00134899" w:rsidRDefault="001C7EBD">
            <w:r>
              <w:rPr>
                <w:rFonts w:hint="eastAsia"/>
              </w:rPr>
              <w:t>□不适用</w:t>
            </w:r>
          </w:p>
        </w:tc>
      </w:tr>
    </w:tbl>
    <w:p w:rsidR="00134899" w:rsidRDefault="00134899"/>
    <w:p w:rsidR="00134899" w:rsidRDefault="00134899"/>
    <w:p w:rsidR="00134899" w:rsidRDefault="00134899"/>
    <w:p w:rsidR="00134899" w:rsidRDefault="00134899"/>
    <w:p w:rsidR="00134899" w:rsidRDefault="00134899"/>
    <w:p w:rsidR="00134899" w:rsidRDefault="00134899"/>
    <w:p w:rsidR="00134899" w:rsidRDefault="00134899"/>
    <w:p w:rsidR="00134899" w:rsidRDefault="00134899"/>
    <w:p w:rsidR="00134899" w:rsidRDefault="00134899"/>
    <w:p w:rsidR="00134899" w:rsidRDefault="00134899"/>
    <w:p w:rsidR="00134899" w:rsidRDefault="00134899"/>
    <w:p w:rsidR="00134899" w:rsidRDefault="00134899"/>
    <w:p w:rsidR="00134899" w:rsidRDefault="00134899"/>
    <w:sectPr w:rsidR="00134899">
      <w:footerReference w:type="default" r:id="rId8"/>
      <w:pgSz w:w="16838" w:h="11906" w:orient="landscape"/>
      <w:pgMar w:top="1803" w:right="1440" w:bottom="1803" w:left="1440" w:header="851" w:footer="992" w:gutter="0"/>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9FC" w:rsidRDefault="009F39FC" w:rsidP="00781658">
      <w:r>
        <w:separator/>
      </w:r>
    </w:p>
  </w:endnote>
  <w:endnote w:type="continuationSeparator" w:id="0">
    <w:p w:rsidR="009F39FC" w:rsidRDefault="009F39FC" w:rsidP="00781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658" w:rsidRDefault="00781658">
    <w:pPr>
      <w:pStyle w:val="a6"/>
    </w:pPr>
    <w:r>
      <w:fldChar w:fldCharType="begin"/>
    </w:r>
    <w:r>
      <w:instrText>PAGE   \* MERGEFORMAT</w:instrText>
    </w:r>
    <w:r>
      <w:fldChar w:fldCharType="separate"/>
    </w:r>
    <w:r w:rsidR="00DC209F" w:rsidRPr="00DC209F">
      <w:rPr>
        <w:noProof/>
        <w:lang w:val="zh-CN"/>
      </w:rPr>
      <w:t>2</w:t>
    </w:r>
    <w:r>
      <w:fldChar w:fldCharType="end"/>
    </w:r>
  </w:p>
  <w:p w:rsidR="00781658" w:rsidRDefault="0078165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9FC" w:rsidRDefault="009F39FC" w:rsidP="00781658">
      <w:r>
        <w:separator/>
      </w:r>
    </w:p>
  </w:footnote>
  <w:footnote w:type="continuationSeparator" w:id="0">
    <w:p w:rsidR="009F39FC" w:rsidRDefault="009F39FC" w:rsidP="007816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doNotTrackMoves/>
  <w:defaultTabStop w:val="420"/>
  <w:drawingGridVerticalSpacing w:val="159"/>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3438BC"/>
    <w:rsid w:val="00015F8C"/>
    <w:rsid w:val="00134899"/>
    <w:rsid w:val="001B363C"/>
    <w:rsid w:val="001B7067"/>
    <w:rsid w:val="001C7EBD"/>
    <w:rsid w:val="00212C83"/>
    <w:rsid w:val="00380F2B"/>
    <w:rsid w:val="003F4500"/>
    <w:rsid w:val="00436E4C"/>
    <w:rsid w:val="00491BD9"/>
    <w:rsid w:val="00493939"/>
    <w:rsid w:val="004B7304"/>
    <w:rsid w:val="00516554"/>
    <w:rsid w:val="00531A31"/>
    <w:rsid w:val="00532B10"/>
    <w:rsid w:val="00536BA3"/>
    <w:rsid w:val="005A49CA"/>
    <w:rsid w:val="00612FAD"/>
    <w:rsid w:val="006833B1"/>
    <w:rsid w:val="00741B73"/>
    <w:rsid w:val="00781658"/>
    <w:rsid w:val="00787C89"/>
    <w:rsid w:val="00834032"/>
    <w:rsid w:val="008347B7"/>
    <w:rsid w:val="00845B3A"/>
    <w:rsid w:val="0085626C"/>
    <w:rsid w:val="00875AD1"/>
    <w:rsid w:val="00891AE3"/>
    <w:rsid w:val="008B0AE9"/>
    <w:rsid w:val="008D55A0"/>
    <w:rsid w:val="00984A2E"/>
    <w:rsid w:val="009A700E"/>
    <w:rsid w:val="009F39FC"/>
    <w:rsid w:val="00A31BC5"/>
    <w:rsid w:val="00A43793"/>
    <w:rsid w:val="00AB3A07"/>
    <w:rsid w:val="00B13859"/>
    <w:rsid w:val="00B2729B"/>
    <w:rsid w:val="00B5754F"/>
    <w:rsid w:val="00B82EDB"/>
    <w:rsid w:val="00BC38B8"/>
    <w:rsid w:val="00C4013C"/>
    <w:rsid w:val="00C77E77"/>
    <w:rsid w:val="00CD6313"/>
    <w:rsid w:val="00CF5942"/>
    <w:rsid w:val="00DC209F"/>
    <w:rsid w:val="00E5118B"/>
    <w:rsid w:val="00E906AF"/>
    <w:rsid w:val="00E91A06"/>
    <w:rsid w:val="00EC4605"/>
    <w:rsid w:val="13377EA7"/>
    <w:rsid w:val="15A85B5D"/>
    <w:rsid w:val="199C5F90"/>
    <w:rsid w:val="1B161291"/>
    <w:rsid w:val="1EBA76CB"/>
    <w:rsid w:val="26EE5889"/>
    <w:rsid w:val="27750888"/>
    <w:rsid w:val="28DE5D23"/>
    <w:rsid w:val="2E101AA6"/>
    <w:rsid w:val="32057D29"/>
    <w:rsid w:val="38017A32"/>
    <w:rsid w:val="47236140"/>
    <w:rsid w:val="47F62D04"/>
    <w:rsid w:val="523A3E9A"/>
    <w:rsid w:val="562D2431"/>
    <w:rsid w:val="60C84863"/>
    <w:rsid w:val="6C550BDA"/>
    <w:rsid w:val="7D343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qFormat="1"/>
    <w:lsdException w:name="header" w:semiHidden="0" w:unhideWhenUsed="0" w:qFormat="1"/>
    <w:lsdException w:name="footer" w:semiHidden="0" w:unhideWhenUsed="0" w:qFormat="1"/>
    <w:lsdException w:name="caption" w:locked="1" w:uiPriority="0" w:qFormat="1"/>
    <w:lsdException w:name="annotation reference" w:unhideWhenUsed="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annotation subject" w:unhideWhenUsed="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Pr>
      <w:b/>
      <w:bCs/>
    </w:rPr>
  </w:style>
  <w:style w:type="paragraph" w:styleId="a4">
    <w:name w:val="annotation text"/>
    <w:basedOn w:val="a"/>
    <w:link w:val="Char0"/>
    <w:uiPriority w:val="99"/>
    <w:semiHidden/>
    <w:qFormat/>
    <w:pPr>
      <w:jc w:val="left"/>
    </w:pPr>
  </w:style>
  <w:style w:type="paragraph" w:styleId="a5">
    <w:name w:val="Balloon Text"/>
    <w:basedOn w:val="a"/>
    <w:link w:val="Char1"/>
    <w:uiPriority w:val="99"/>
    <w:semiHidden/>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character" w:styleId="a8">
    <w:name w:val="annotation reference"/>
    <w:uiPriority w:val="99"/>
    <w:semiHidden/>
    <w:qFormat/>
    <w:rPr>
      <w:rFonts w:cs="Times New Roman"/>
      <w:sz w:val="21"/>
      <w:szCs w:val="21"/>
    </w:rPr>
  </w:style>
  <w:style w:type="table" w:styleId="a9">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脚 Char"/>
    <w:link w:val="a6"/>
    <w:uiPriority w:val="99"/>
    <w:qFormat/>
    <w:locked/>
    <w:rPr>
      <w:rFonts w:cs="Times New Roman"/>
      <w:kern w:val="2"/>
      <w:sz w:val="18"/>
      <w:szCs w:val="18"/>
    </w:rPr>
  </w:style>
  <w:style w:type="character" w:customStyle="1" w:styleId="Char3">
    <w:name w:val="页眉 Char"/>
    <w:link w:val="a7"/>
    <w:uiPriority w:val="99"/>
    <w:qFormat/>
    <w:locked/>
    <w:rPr>
      <w:rFonts w:cs="Times New Roman"/>
      <w:kern w:val="2"/>
      <w:sz w:val="18"/>
      <w:szCs w:val="18"/>
    </w:rPr>
  </w:style>
  <w:style w:type="paragraph" w:customStyle="1" w:styleId="1">
    <w:name w:val="列出段落1"/>
    <w:basedOn w:val="a"/>
    <w:uiPriority w:val="99"/>
    <w:qFormat/>
    <w:pPr>
      <w:ind w:firstLineChars="200" w:firstLine="420"/>
    </w:pPr>
  </w:style>
  <w:style w:type="character" w:customStyle="1" w:styleId="Char0">
    <w:name w:val="批注文字 Char"/>
    <w:link w:val="a4"/>
    <w:uiPriority w:val="99"/>
    <w:semiHidden/>
    <w:qFormat/>
    <w:locked/>
    <w:rPr>
      <w:rFonts w:cs="Times New Roman"/>
      <w:kern w:val="2"/>
      <w:sz w:val="22"/>
      <w:szCs w:val="22"/>
    </w:rPr>
  </w:style>
  <w:style w:type="character" w:customStyle="1" w:styleId="Char">
    <w:name w:val="批注主题 Char"/>
    <w:link w:val="a3"/>
    <w:uiPriority w:val="99"/>
    <w:semiHidden/>
    <w:qFormat/>
    <w:locked/>
    <w:rPr>
      <w:rFonts w:cs="Times New Roman"/>
      <w:b/>
      <w:bCs/>
      <w:kern w:val="2"/>
      <w:sz w:val="22"/>
      <w:szCs w:val="22"/>
    </w:rPr>
  </w:style>
  <w:style w:type="character" w:customStyle="1" w:styleId="Char1">
    <w:name w:val="批注框文本 Char"/>
    <w:link w:val="a5"/>
    <w:uiPriority w:val="99"/>
    <w:semiHidden/>
    <w:qFormat/>
    <w:locked/>
    <w:rPr>
      <w:rFonts w:cs="Times New Roman"/>
      <w:kern w:val="2"/>
      <w:sz w:val="18"/>
      <w:szCs w:val="18"/>
    </w:rPr>
  </w:style>
  <w:style w:type="paragraph" w:customStyle="1" w:styleId="10">
    <w:name w:val="正文1"/>
    <w:qFormat/>
    <w:pPr>
      <w:jc w:val="both"/>
    </w:pPr>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591</Words>
  <Characters>3372</Characters>
  <Application>Microsoft Office Word</Application>
  <DocSecurity>0</DocSecurity>
  <Lines>28</Lines>
  <Paragraphs>7</Paragraphs>
  <ScaleCrop>false</ScaleCrop>
  <Company>微型计算机软件系统开发</Company>
  <LinksUpToDate>false</LinksUpToDate>
  <CharactersWithSpaces>3956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liudingding</cp:lastModifiedBy>
  <cp:revision>26</cp:revision>
  <cp:lastPrinted>2017-11-24T08:23:00Z</cp:lastPrinted>
  <dcterms:created xsi:type="dcterms:W3CDTF">2017-07-07T07:38:00Z</dcterms:created>
  <dcterms:modified xsi:type="dcterms:W3CDTF">2017-12-07T07:30:00Z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